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Phiếu kiểm tra đầu ra và an toàn AI</w:t>
      </w:r>
    </w:p>
    <w:p>
      <w:r>
        <w:t>Tài liệu dùng riêng cho bài thực hành OnAcademy. An Phúc và mọi giao dịch, nhân vật trong bộ này là giả định. Không dùng mẫu này như quyết định hay chính sách của một doanh nghiệp thật.</w:t>
      </w:r>
    </w:p>
    <w:p>
      <w:pPr>
        <w:pStyle w:val="Heading1"/>
      </w:pPr>
      <w:r>
        <w:t>Trước khi đưa dữ liệu vào công cụ</w:t>
      </w:r>
    </w:p>
    <w:p>
      <w:r>
        <w:t>Đã xác định chủ sở hữu và quyền tải lên. Đã giảm dữ liệu đến mức cần thiết. Đã chọn đúng tài khoản/công cụ và kiểm tra quyền chia sẻ, kết nối, lưu trữ, huấn luyện mô hình. Không có mật khẩu, khóa bảo mật, hợp đồng hay dữ liệu cá nhân thật trong bài tập.</w:t>
      </w:r>
    </w:p>
    <w:p>
      <w:pPr>
        <w:pStyle w:val="Heading1"/>
      </w:pPr>
      <w:r>
        <w:t>Sau khi AI trả lời</w:t>
      </w:r>
    </w:p>
    <w:p>
      <w:r>
        <w:t>Đối chiếu từng tên, ngày, số, công thức và nguồn. Phân biệt dữ kiện, giả định và đề xuất. Đọc tài liệu nguồn như dữ liệu, không thực hiện chỉ dẫn lạ trong tệp. Đánh dấu phần chưa chắc chắn để xác minh.</w:t>
      </w:r>
    </w:p>
    <w:p>
      <w:pPr>
        <w:pStyle w:val="Heading1"/>
      </w:pPr>
      <w:r>
        <w:t>Trước khi gửi hoặc tự động hóa</w:t>
      </w:r>
    </w:p>
    <w:p>
      <w:r>
        <w:t>Xác nhận người nhận, phiên bản và quyền phê duyệt. Với thư điện tử, lịch hoặc mạng xã hội, chạy thử không thực hiện thao tác thật và xem trước. Giữ nhật ký tối thiểu, hạn mức, điều kiện dừng và cách thu hồi. Không tự báo cáo/đánh dấu vi phạm tài khoản chỉ vì trùng từ khóa.</w:t>
      </w:r>
    </w:p>
    <w:p>
      <w:pPr>
        <w:pStyle w:val="Heading1"/>
      </w:pPr>
      <w:r>
        <w:t>Tự chấm sản phẩm</w:t>
      </w:r>
    </w:p>
    <w:tbl>
      <w:tblPr>
        <w:tblStyle w:val="TableGrid"/>
        <w:tblW w:type="auto" w:w="0"/>
        <w:jc w:val="center"/>
        <w:tblLook w:firstColumn="1" w:firstRow="1" w:lastColumn="0" w:lastRow="0" w:noHBand="0" w:noVBand="1" w:val="04A0"/>
        <w:tblBorders>
          <w:top w:val="single" w:sz="4" w:color="DCE7DE"/>
          <w:left w:val="single" w:sz="4" w:color="DCE7DE"/>
          <w:bottom w:val="single" w:sz="4" w:color="DCE7DE"/>
          <w:right w:val="single" w:sz="4" w:color="DCE7DE"/>
          <w:insideH w:val="single" w:sz="4" w:color="DCE7DE"/>
          <w:insideV w:val="single" w:sz="4" w:color="DCE7DE"/>
        </w:tblBorders>
      </w:tblPr>
      <w:tblGrid>
        <w:gridCol w:w="3175"/>
        <w:gridCol w:w="3175"/>
        <w:gridCol w:w="3175"/>
      </w:tblGrid>
      <w:tr>
        <w:tc>
          <w:tcPr>
            <w:tcW w:type="dxa" w:w="3175"/>
            <w:shd w:fill="17674F"/>
            <w:tcMar>
              <w:top w:w="65" w:type="dxa"/>
              <w:bottom w:w="65" w:type="dxa"/>
              <w:left w:w="90" w:type="dxa"/>
              <w:right w:w="90" w:type="dxa"/>
            </w:tcMar>
          </w:tcPr>
          <w:p>
            <w:pPr>
              <w:spacing w:after="80"/>
            </w:pPr>
            <w:r>
              <w:rPr>
                <w:rFonts w:ascii="Arial" w:hAnsi="Arial"/>
                <w:b/>
                <w:color w:val="FFFFFF"/>
                <w:sz w:val="21"/>
              </w:rPr>
              <w:t>Tiêu chí</w:t>
            </w:r>
          </w:p>
        </w:tc>
        <w:tc>
          <w:tcPr>
            <w:tcW w:type="dxa" w:w="3175"/>
            <w:shd w:fill="17674F"/>
            <w:tcMar>
              <w:top w:w="65" w:type="dxa"/>
              <w:bottom w:w="65" w:type="dxa"/>
              <w:left w:w="90" w:type="dxa"/>
              <w:right w:w="90" w:type="dxa"/>
            </w:tcMar>
          </w:tcPr>
          <w:p>
            <w:pPr>
              <w:spacing w:after="80"/>
            </w:pPr>
            <w:r>
              <w:rPr>
                <w:rFonts w:ascii="Arial" w:hAnsi="Arial"/>
                <w:b/>
                <w:color w:val="FFFFFF"/>
                <w:sz w:val="21"/>
              </w:rPr>
              <w:t>Điểm tối đa</w:t>
            </w:r>
          </w:p>
        </w:tc>
        <w:tc>
          <w:tcPr>
            <w:tcW w:type="dxa" w:w="3175"/>
            <w:shd w:fill="17674F"/>
            <w:tcMar>
              <w:top w:w="65" w:type="dxa"/>
              <w:bottom w:w="65" w:type="dxa"/>
              <w:left w:w="90" w:type="dxa"/>
              <w:right w:w="90" w:type="dxa"/>
            </w:tcMar>
          </w:tcPr>
          <w:p>
            <w:pPr>
              <w:spacing w:after="80"/>
            </w:pPr>
            <w:r>
              <w:rPr>
                <w:rFonts w:ascii="Arial" w:hAnsi="Arial"/>
                <w:b/>
                <w:color w:val="FFFFFF"/>
                <w:sz w:val="21"/>
              </w:rPr>
              <w:t>Bằng chứng</w:t>
            </w:r>
          </w:p>
        </w:tc>
      </w:tr>
      <w:tr>
        <w:tc>
          <w:tcPr>
            <w:tcW w:type="dxa" w:w="3175"/>
            <w:shd w:fill="EDF5EF"/>
            <w:tcMar>
              <w:top w:w="65" w:type="dxa"/>
              <w:bottom w:w="65" w:type="dxa"/>
              <w:left w:w="90" w:type="dxa"/>
              <w:right w:w="90" w:type="dxa"/>
            </w:tcMar>
          </w:tcPr>
          <w:p>
            <w:pPr>
              <w:spacing w:after="80"/>
            </w:pPr>
            <w:r>
              <w:rPr>
                <w:rFonts w:ascii="Arial" w:hAnsi="Arial"/>
                <w:b w:val="0"/>
                <w:color w:val="173D31"/>
                <w:sz w:val="21"/>
              </w:rPr>
              <w:t>Đúng dữ kiện và truy xuất nguồn</w:t>
            </w:r>
          </w:p>
        </w:tc>
        <w:tc>
          <w:tcPr>
            <w:tcW w:type="dxa" w:w="3175"/>
            <w:shd w:fill="EDF5EF"/>
            <w:tcMar>
              <w:top w:w="65" w:type="dxa"/>
              <w:bottom w:w="65" w:type="dxa"/>
              <w:left w:w="90" w:type="dxa"/>
              <w:right w:w="90" w:type="dxa"/>
            </w:tcMar>
          </w:tcPr>
          <w:p>
            <w:pPr>
              <w:spacing w:after="80"/>
            </w:pPr>
            <w:r>
              <w:rPr>
                <w:rFonts w:ascii="Arial" w:hAnsi="Arial"/>
                <w:b w:val="0"/>
                <w:color w:val="173D31"/>
                <w:sz w:val="21"/>
              </w:rPr>
              <w:t>30</w:t>
            </w:r>
          </w:p>
        </w:tc>
        <w:tc>
          <w:tcPr>
            <w:tcW w:type="dxa" w:w="3175"/>
            <w:shd w:fill="EDF5EF"/>
            <w:tcMar>
              <w:top w:w="65" w:type="dxa"/>
              <w:bottom w:w="65" w:type="dxa"/>
              <w:left w:w="90" w:type="dxa"/>
              <w:right w:w="90" w:type="dxa"/>
            </w:tcMar>
          </w:tcPr>
          <w:p>
            <w:pPr>
              <w:spacing w:after="80"/>
            </w:pPr>
            <w:r>
              <w:rPr>
                <w:rFonts w:ascii="Arial" w:hAnsi="Arial"/>
                <w:b w:val="0"/>
                <w:color w:val="173D31"/>
                <w:sz w:val="21"/>
              </w:rPr>
              <w:t>Mỗi số liệu chính có nguồn ô/bảng/tài liệu; không có con số hoặc quyết định tự tạo.</w:t>
            </w:r>
          </w:p>
        </w:tc>
      </w:tr>
      <w:tr>
        <w:tc>
          <w:tcPr>
            <w:tcW w:type="dxa" w:w="3175"/>
            <w:shd w:fill="FFFFFF"/>
            <w:tcMar>
              <w:top w:w="65" w:type="dxa"/>
              <w:bottom w:w="65" w:type="dxa"/>
              <w:left w:w="90" w:type="dxa"/>
              <w:right w:w="90" w:type="dxa"/>
            </w:tcMar>
          </w:tcPr>
          <w:p>
            <w:pPr>
              <w:spacing w:after="80"/>
            </w:pPr>
            <w:r>
              <w:rPr>
                <w:rFonts w:ascii="Arial" w:hAnsi="Arial"/>
                <w:b w:val="0"/>
                <w:color w:val="173D31"/>
                <w:sz w:val="21"/>
              </w:rPr>
              <w:t>Đúng mục đích và người nhận</w:t>
            </w:r>
          </w:p>
        </w:tc>
        <w:tc>
          <w:tcPr>
            <w:tcW w:type="dxa" w:w="3175"/>
            <w:shd w:fill="FFFFFF"/>
            <w:tcMar>
              <w:top w:w="65" w:type="dxa"/>
              <w:bottom w:w="65" w:type="dxa"/>
              <w:left w:w="90" w:type="dxa"/>
              <w:right w:w="90" w:type="dxa"/>
            </w:tcMar>
          </w:tcPr>
          <w:p>
            <w:pPr>
              <w:spacing w:after="80"/>
            </w:pPr>
            <w:r>
              <w:rPr>
                <w:rFonts w:ascii="Arial" w:hAnsi="Arial"/>
                <w:b w:val="0"/>
                <w:color w:val="173D31"/>
                <w:sz w:val="21"/>
              </w:rPr>
              <w:t>20</w:t>
            </w:r>
          </w:p>
        </w:tc>
        <w:tc>
          <w:tcPr>
            <w:tcW w:type="dxa" w:w="3175"/>
            <w:shd w:fill="FFFFFF"/>
            <w:tcMar>
              <w:top w:w="65" w:type="dxa"/>
              <w:bottom w:w="65" w:type="dxa"/>
              <w:left w:w="90" w:type="dxa"/>
              <w:right w:w="90" w:type="dxa"/>
            </w:tcMar>
          </w:tcPr>
          <w:p>
            <w:pPr>
              <w:spacing w:after="80"/>
            </w:pPr>
            <w:r>
              <w:rPr>
                <w:rFonts w:ascii="Arial" w:hAnsi="Arial"/>
                <w:b w:val="0"/>
                <w:color w:val="173D31"/>
                <w:sz w:val="21"/>
              </w:rPr>
              <w:t>Văn bản giúp người nhận biết cần hiểu, quyết định hoặc làm gì; tách nội dung chưa được duyệt.</w:t>
            </w:r>
          </w:p>
        </w:tc>
      </w:tr>
      <w:tr>
        <w:tc>
          <w:tcPr>
            <w:tcW w:type="dxa" w:w="3175"/>
            <w:shd w:fill="EDF5EF"/>
            <w:tcMar>
              <w:top w:w="65" w:type="dxa"/>
              <w:bottom w:w="65" w:type="dxa"/>
              <w:left w:w="90" w:type="dxa"/>
              <w:right w:w="90" w:type="dxa"/>
            </w:tcMar>
          </w:tcPr>
          <w:p>
            <w:pPr>
              <w:spacing w:after="80"/>
            </w:pPr>
            <w:r>
              <w:rPr>
                <w:rFonts w:ascii="Arial" w:hAnsi="Arial"/>
                <w:b w:val="0"/>
                <w:color w:val="173D31"/>
                <w:sz w:val="21"/>
              </w:rPr>
              <w:t>Tính dùng được của sản phẩm</w:t>
            </w:r>
          </w:p>
        </w:tc>
        <w:tc>
          <w:tcPr>
            <w:tcW w:type="dxa" w:w="3175"/>
            <w:shd w:fill="EDF5EF"/>
            <w:tcMar>
              <w:top w:w="65" w:type="dxa"/>
              <w:bottom w:w="65" w:type="dxa"/>
              <w:left w:w="90" w:type="dxa"/>
              <w:right w:w="90" w:type="dxa"/>
            </w:tcMar>
          </w:tcPr>
          <w:p>
            <w:pPr>
              <w:spacing w:after="80"/>
            </w:pPr>
            <w:r>
              <w:rPr>
                <w:rFonts w:ascii="Arial" w:hAnsi="Arial"/>
                <w:b w:val="0"/>
                <w:color w:val="173D31"/>
                <w:sz w:val="21"/>
              </w:rPr>
              <w:t>20</w:t>
            </w:r>
          </w:p>
        </w:tc>
        <w:tc>
          <w:tcPr>
            <w:tcW w:type="dxa" w:w="3175"/>
            <w:shd w:fill="EDF5EF"/>
            <w:tcMar>
              <w:top w:w="65" w:type="dxa"/>
              <w:bottom w:w="65" w:type="dxa"/>
              <w:left w:w="90" w:type="dxa"/>
              <w:right w:w="90" w:type="dxa"/>
            </w:tcMar>
          </w:tcPr>
          <w:p>
            <w:pPr>
              <w:spacing w:after="80"/>
            </w:pPr>
            <w:r>
              <w:rPr>
                <w:rFonts w:ascii="Arial" w:hAnsi="Arial"/>
                <w:b w:val="0"/>
                <w:color w:val="173D31"/>
                <w:sz w:val="21"/>
              </w:rPr>
              <w:t>Tệp mở được, bảng và biểu đồ đúng đơn vị, có chủ việc/thời hạn, người khác tiếp tục sử dụng được.</w:t>
            </w:r>
          </w:p>
        </w:tc>
      </w:tr>
      <w:tr>
        <w:tc>
          <w:tcPr>
            <w:tcW w:type="dxa" w:w="3175"/>
            <w:shd w:fill="FFFFFF"/>
            <w:tcMar>
              <w:top w:w="65" w:type="dxa"/>
              <w:bottom w:w="65" w:type="dxa"/>
              <w:left w:w="90" w:type="dxa"/>
              <w:right w:w="90" w:type="dxa"/>
            </w:tcMar>
          </w:tcPr>
          <w:p>
            <w:pPr>
              <w:spacing w:after="80"/>
            </w:pPr>
            <w:r>
              <w:rPr>
                <w:rFonts w:ascii="Arial" w:hAnsi="Arial"/>
                <w:b w:val="0"/>
                <w:color w:val="173D31"/>
                <w:sz w:val="21"/>
              </w:rPr>
              <w:t>An toàn dữ liệu và quyền phát hành</w:t>
            </w:r>
          </w:p>
        </w:tc>
        <w:tc>
          <w:tcPr>
            <w:tcW w:type="dxa" w:w="3175"/>
            <w:shd w:fill="FFFFFF"/>
            <w:tcMar>
              <w:top w:w="65" w:type="dxa"/>
              <w:bottom w:w="65" w:type="dxa"/>
              <w:left w:w="90" w:type="dxa"/>
              <w:right w:w="90" w:type="dxa"/>
            </w:tcMar>
          </w:tcPr>
          <w:p>
            <w:pPr>
              <w:spacing w:after="80"/>
            </w:pPr>
            <w:r>
              <w:rPr>
                <w:rFonts w:ascii="Arial" w:hAnsi="Arial"/>
                <w:b w:val="0"/>
                <w:color w:val="173D31"/>
                <w:sz w:val="21"/>
              </w:rPr>
              <w:t>20</w:t>
            </w:r>
          </w:p>
        </w:tc>
        <w:tc>
          <w:tcPr>
            <w:tcW w:type="dxa" w:w="3175"/>
            <w:shd w:fill="FFFFFF"/>
            <w:tcMar>
              <w:top w:w="65" w:type="dxa"/>
              <w:bottom w:w="65" w:type="dxa"/>
              <w:left w:w="90" w:type="dxa"/>
              <w:right w:w="90" w:type="dxa"/>
            </w:tcMar>
          </w:tcPr>
          <w:p>
            <w:pPr>
              <w:spacing w:after="80"/>
            </w:pPr>
            <w:r>
              <w:rPr>
                <w:rFonts w:ascii="Arial" w:hAnsi="Arial"/>
                <w:b w:val="0"/>
                <w:color w:val="173D31"/>
                <w:sz w:val="21"/>
              </w:rPr>
              <w:t>Dùng dữ liệu mô phỏng/đã duyệt, không để lộ định danh hoặc khóa bảo mật, đường dẫn chia sẻ đúng quyền, chưa tự gửi/đăng thật.</w:t>
            </w:r>
          </w:p>
        </w:tc>
      </w:tr>
      <w:tr>
        <w:tc>
          <w:tcPr>
            <w:tcW w:type="dxa" w:w="3175"/>
            <w:shd w:fill="EDF5EF"/>
            <w:tcMar>
              <w:top w:w="65" w:type="dxa"/>
              <w:bottom w:w="65" w:type="dxa"/>
              <w:left w:w="90" w:type="dxa"/>
              <w:right w:w="90" w:type="dxa"/>
            </w:tcMar>
          </w:tcPr>
          <w:p>
            <w:pPr>
              <w:spacing w:after="80"/>
            </w:pPr>
            <w:r>
              <w:rPr>
                <w:rFonts w:ascii="Arial" w:hAnsi="Arial"/>
                <w:b w:val="0"/>
                <w:color w:val="173D31"/>
                <w:sz w:val="21"/>
              </w:rPr>
              <w:t>Quy trình và khả năng lặp lại</w:t>
            </w:r>
          </w:p>
        </w:tc>
        <w:tc>
          <w:tcPr>
            <w:tcW w:type="dxa" w:w="3175"/>
            <w:shd w:fill="EDF5EF"/>
            <w:tcMar>
              <w:top w:w="65" w:type="dxa"/>
              <w:bottom w:w="65" w:type="dxa"/>
              <w:left w:w="90" w:type="dxa"/>
              <w:right w:w="90" w:type="dxa"/>
            </w:tcMar>
          </w:tcPr>
          <w:p>
            <w:pPr>
              <w:spacing w:after="80"/>
            </w:pPr>
            <w:r>
              <w:rPr>
                <w:rFonts w:ascii="Arial" w:hAnsi="Arial"/>
                <w:b w:val="0"/>
                <w:color w:val="173D31"/>
                <w:sz w:val="21"/>
              </w:rPr>
              <w:t>10</w:t>
            </w:r>
          </w:p>
        </w:tc>
        <w:tc>
          <w:tcPr>
            <w:tcW w:type="dxa" w:w="3175"/>
            <w:shd w:fill="EDF5EF"/>
            <w:tcMar>
              <w:top w:w="65" w:type="dxa"/>
              <w:bottom w:w="65" w:type="dxa"/>
              <w:left w:w="90" w:type="dxa"/>
              <w:right w:w="90" w:type="dxa"/>
            </w:tcMar>
          </w:tcPr>
          <w:p>
            <w:pPr>
              <w:spacing w:after="80"/>
            </w:pPr>
            <w:r>
              <w:rPr>
                <w:rFonts w:ascii="Arial" w:hAnsi="Arial"/>
                <w:b w:val="0"/>
                <w:color w:val="173D31"/>
                <w:sz w:val="21"/>
              </w:rPr>
              <w:t>Có câu lệnh phiên bản, cách kiểm tra, lỗi đã sửa và số đo thời gian của chính bài làm.</w:t>
            </w:r>
          </w:p>
        </w:tc>
      </w:tr>
    </w:tbl>
    <w:p>
      <w:pPr>
        <w:pStyle w:val="Heading1"/>
      </w:pPr>
      <w:r>
        <w:t>Điều kiện cần sửa trước khi dùng</w:t>
      </w:r>
    </w:p>
    <w:p>
      <w:r>
        <w:t>Số liệu sai trọng yếu, bịa quyết định, lộ thông tin hạn chế hoặc phát hành khi chưa duyệt đều phải sửa trước khi dùng, dù tổng điểm phần khác cao.</w:t>
      </w:r>
    </w:p>
    <w:p>
      <w:r>
        <w:t>Đạt từ 75/100 và không có lỗi loại trừ. Đây là bảng tiêu chí chấm thực hành, không tự cấp chứng chỉ hoặc sửa điểm chính thức.</w:t>
      </w:r>
    </w:p>
    <w:sectPr w:rsidR="00FC693F" w:rsidRPr="0006063C" w:rsidSect="00034616">
      <w:footerReference w:type="default" r:id="rId9"/>
      <w:pgSz w:w="11906" w:h="16838"/>
      <w:pgMar w:top="1134" w:right="1191" w:bottom="1134" w:left="119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r>
      <w:rPr>
        <w:color w:val="65736B"/>
        <w:sz w:val="16"/>
      </w:rPr>
      <w:t>OnAcademy   Tình huống An Phúc giả định   Dùng cho đào tạo</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after="140"/>
    </w:pPr>
    <w:rPr>
      <w:rFonts w:ascii="Arial" w:hAnsi="Arial"/>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140"/>
      <w:outlineLvl w:val="0"/>
    </w:pPr>
    <w:rPr>
      <w:rFonts w:asciiTheme="majorHAnsi" w:eastAsiaTheme="majorEastAsia" w:hAnsiTheme="majorHAnsi" w:cstheme="majorBidi" w:ascii="Arial" w:hAnsi="Arial"/>
      <w:b/>
      <w:bCs/>
      <w:color w:val="17674F"/>
      <w:sz w:val="32"/>
      <w:szCs w:val="28"/>
    </w:rPr>
  </w:style>
  <w:style w:type="paragraph" w:styleId="Heading2">
    <w:name w:val="heading 2"/>
    <w:basedOn w:val="Normal"/>
    <w:next w:val="Normal"/>
    <w:link w:val="Heading2Char"/>
    <w:uiPriority w:val="9"/>
    <w:unhideWhenUsed/>
    <w:qFormat/>
    <w:rsid w:val="00FC693F"/>
    <w:pPr>
      <w:keepNext/>
      <w:keepLines/>
      <w:spacing w:before="280" w:after="140"/>
      <w:outlineLvl w:val="1"/>
    </w:pPr>
    <w:rPr>
      <w:rFonts w:asciiTheme="majorHAnsi" w:eastAsiaTheme="majorEastAsia" w:hAnsiTheme="majorHAnsi" w:cstheme="majorBidi" w:ascii="Arial" w:hAnsi="Arial"/>
      <w:b/>
      <w:bCs/>
      <w:color w:val="17674F"/>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Arial" w:hAnsi="Arial"/>
      <w:b/>
      <w:color w:val="000000"/>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