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Mẫu báo cáo kết quả vận hành tháng</w:t>
      </w:r>
    </w:p>
    <w:p>
      <w:r>
        <w:t>Tài liệu dùng riêng cho bài thực hành OnAcademy. An Phúc và mọi giao dịch, nhân vật trong bộ này là giả định. Không dùng mẫu này như quyết định hay chính sách của một doanh nghiệp thật.</w:t>
      </w:r>
    </w:p>
    <w:p>
      <w:pPr>
        <w:pStyle w:val="Heading1"/>
      </w:pPr>
      <w:r>
        <w:t>Tóm tắt để người quản lý đọc</w:t>
      </w:r>
    </w:p>
    <w:p>
      <w:r>
        <w:t>Kỳ báo cáo: [thời gian]. Phạm vi: [nguồn và trạng thái ghi nhận]. Kết quả chính: [ba số đã kiểm chứng]. Vấn đề cần quyết định: [một câu].</w:t>
      </w:r>
    </w:p>
    <w:p>
      <w:pPr>
        <w:pStyle w:val="Heading1"/>
      </w:pPr>
      <w:r>
        <w:t>Bảng chỉ số</w:t>
      </w:r>
    </w:p>
    <w:tbl>
      <w:tblPr>
        <w:tblStyle w:val="TableGrid"/>
        <w:tblW w:type="auto" w:w="0"/>
        <w:jc w:val="center"/>
        <w:tblLook w:firstColumn="1" w:firstRow="1" w:lastColumn="0" w:lastRow="0" w:noHBand="0" w:noVBand="1" w:val="04A0"/>
        <w:tblBorders>
          <w:top w:val="single" w:sz="4" w:color="DCE7DE"/>
          <w:left w:val="single" w:sz="4" w:color="DCE7DE"/>
          <w:bottom w:val="single" w:sz="4" w:color="DCE7DE"/>
          <w:right w:val="single" w:sz="4" w:color="DCE7DE"/>
          <w:insideH w:val="single" w:sz="4" w:color="DCE7DE"/>
          <w:insideV w:val="single" w:sz="4" w:color="DCE7DE"/>
        </w:tblBorders>
      </w:tblPr>
      <w:tblGrid>
        <w:gridCol w:w="3175"/>
        <w:gridCol w:w="3175"/>
        <w:gridCol w:w="3175"/>
      </w:tblGrid>
      <w:tr>
        <w:tc>
          <w:tcPr>
            <w:tcW w:type="dxa" w:w="3175"/>
            <w:shd w:fill="17674F"/>
            <w:tcMar>
              <w:top w:w="65" w:type="dxa"/>
              <w:bottom w:w="65" w:type="dxa"/>
              <w:left w:w="90" w:type="dxa"/>
              <w:right w:w="90" w:type="dxa"/>
            </w:tcMar>
          </w:tcPr>
          <w:p>
            <w:pPr>
              <w:spacing w:after="80"/>
            </w:pPr>
            <w:r>
              <w:rPr>
                <w:rFonts w:ascii="Arial" w:hAnsi="Arial"/>
                <w:b/>
                <w:color w:val="FFFFFF"/>
                <w:sz w:val="21"/>
              </w:rPr>
              <w:t>Chỉ số</w:t>
            </w:r>
          </w:p>
        </w:tc>
        <w:tc>
          <w:tcPr>
            <w:tcW w:type="dxa" w:w="3175"/>
            <w:shd w:fill="17674F"/>
            <w:tcMar>
              <w:top w:w="65" w:type="dxa"/>
              <w:bottom w:w="65" w:type="dxa"/>
              <w:left w:w="90" w:type="dxa"/>
              <w:right w:w="90" w:type="dxa"/>
            </w:tcMar>
          </w:tcPr>
          <w:p>
            <w:pPr>
              <w:spacing w:after="80"/>
            </w:pPr>
            <w:r>
              <w:rPr>
                <w:rFonts w:ascii="Arial" w:hAnsi="Arial"/>
                <w:b/>
                <w:color w:val="FFFFFF"/>
                <w:sz w:val="21"/>
              </w:rPr>
              <w:t>Giá trị</w:t>
            </w:r>
          </w:p>
        </w:tc>
        <w:tc>
          <w:tcPr>
            <w:tcW w:type="dxa" w:w="3175"/>
            <w:shd w:fill="17674F"/>
            <w:tcMar>
              <w:top w:w="65" w:type="dxa"/>
              <w:bottom w:w="65" w:type="dxa"/>
              <w:left w:w="90" w:type="dxa"/>
              <w:right w:w="90" w:type="dxa"/>
            </w:tcMar>
          </w:tcPr>
          <w:p>
            <w:pPr>
              <w:spacing w:after="80"/>
            </w:pPr>
            <w:r>
              <w:rPr>
                <w:rFonts w:ascii="Arial" w:hAnsi="Arial"/>
                <w:b/>
                <w:color w:val="FFFFFF"/>
                <w:sz w:val="21"/>
              </w:rPr>
              <w:t>Cách tính và nguồn</w:t>
            </w:r>
          </w:p>
        </w:tc>
      </w:tr>
      <w:tr>
        <w:tc>
          <w:tcPr>
            <w:tcW w:type="dxa" w:w="3175"/>
            <w:shd w:fill="EDF5EF"/>
            <w:tcMar>
              <w:top w:w="65" w:type="dxa"/>
              <w:bottom w:w="65" w:type="dxa"/>
              <w:left w:w="90" w:type="dxa"/>
              <w:right w:w="90" w:type="dxa"/>
            </w:tcMar>
          </w:tcPr>
          <w:p>
            <w:pPr>
              <w:spacing w:after="80"/>
            </w:pPr>
            <w:r>
              <w:rPr>
                <w:rFonts w:ascii="Arial" w:hAnsi="Arial"/>
                <w:b w:val="0"/>
                <w:color w:val="173D31"/>
                <w:sz w:val="21"/>
              </w:rPr>
              <w:t>Số đơn hợp lệ</w:t>
            </w:r>
          </w:p>
        </w:tc>
        <w:tc>
          <w:tcPr>
            <w:tcW w:type="dxa" w:w="3175"/>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3175"/>
            <w:shd w:fill="EDF5EF"/>
            <w:tcMar>
              <w:top w:w="65" w:type="dxa"/>
              <w:bottom w:w="65" w:type="dxa"/>
              <w:left w:w="90" w:type="dxa"/>
              <w:right w:w="90" w:type="dxa"/>
            </w:tcMar>
          </w:tcPr>
          <w:p>
            <w:pPr>
              <w:spacing w:after="80"/>
            </w:pPr>
            <w:r>
              <w:rPr>
                <w:rFonts w:ascii="Arial" w:hAnsi="Arial"/>
                <w:b w:val="0"/>
                <w:color w:val="173D31"/>
                <w:sz w:val="21"/>
              </w:rPr>
              <w:t>Khóa duy nhất sau chuẩn hóa</w:t>
            </w:r>
          </w:p>
        </w:tc>
      </w:tr>
      <w:tr>
        <w:tc>
          <w:tcPr>
            <w:tcW w:type="dxa" w:w="3175"/>
            <w:shd w:fill="FFFFFF"/>
            <w:tcMar>
              <w:top w:w="65" w:type="dxa"/>
              <w:bottom w:w="65" w:type="dxa"/>
              <w:left w:w="90" w:type="dxa"/>
              <w:right w:w="90" w:type="dxa"/>
            </w:tcMar>
          </w:tcPr>
          <w:p>
            <w:pPr>
              <w:spacing w:after="80"/>
            </w:pPr>
            <w:r>
              <w:rPr>
                <w:rFonts w:ascii="Arial" w:hAnsi="Arial"/>
                <w:b w:val="0"/>
                <w:color w:val="173D31"/>
                <w:sz w:val="21"/>
              </w:rPr>
              <w:t>Doanh thu ghi nhận VND</w:t>
            </w:r>
          </w:p>
        </w:tc>
        <w:tc>
          <w:tcPr>
            <w:tcW w:type="dxa" w:w="3175"/>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3175"/>
            <w:shd w:fill="FFFFFF"/>
            <w:tcMar>
              <w:top w:w="65" w:type="dxa"/>
              <w:bottom w:w="65" w:type="dxa"/>
              <w:left w:w="90" w:type="dxa"/>
              <w:right w:w="90" w:type="dxa"/>
            </w:tcMar>
          </w:tcPr>
          <w:p>
            <w:pPr>
              <w:spacing w:after="80"/>
            </w:pPr>
            <w:r>
              <w:rPr>
                <w:rFonts w:ascii="Arial" w:hAnsi="Arial"/>
                <w:b w:val="0"/>
                <w:color w:val="173D31"/>
                <w:sz w:val="21"/>
              </w:rPr>
              <w:t>Chỉ Đã giao, sau giảm giá</w:t>
            </w:r>
          </w:p>
        </w:tc>
      </w:tr>
      <w:tr>
        <w:tc>
          <w:tcPr>
            <w:tcW w:type="dxa" w:w="3175"/>
            <w:shd w:fill="EDF5EF"/>
            <w:tcMar>
              <w:top w:w="65" w:type="dxa"/>
              <w:bottom w:w="65" w:type="dxa"/>
              <w:left w:w="90" w:type="dxa"/>
              <w:right w:w="90" w:type="dxa"/>
            </w:tcMar>
          </w:tcPr>
          <w:p>
            <w:pPr>
              <w:spacing w:after="80"/>
            </w:pPr>
            <w:r>
              <w:rPr>
                <w:rFonts w:ascii="Arial" w:hAnsi="Arial"/>
                <w:b w:val="0"/>
                <w:color w:val="173D31"/>
                <w:sz w:val="21"/>
              </w:rPr>
              <w:t>Lãi gộp mô phỏng VND</w:t>
            </w:r>
          </w:p>
        </w:tc>
        <w:tc>
          <w:tcPr>
            <w:tcW w:type="dxa" w:w="3175"/>
            <w:shd w:fill="EDF5EF"/>
            <w:tcMar>
              <w:top w:w="65" w:type="dxa"/>
              <w:bottom w:w="65" w:type="dxa"/>
              <w:left w:w="90" w:type="dxa"/>
              <w:right w:w="90" w:type="dxa"/>
            </w:tcMar>
          </w:tcPr>
          <w:p>
            <w:pPr>
              <w:spacing w:after="80"/>
            </w:pPr>
            <w:r>
              <w:rPr>
                <w:rFonts w:ascii="Arial" w:hAnsi="Arial"/>
                <w:b w:val="0"/>
                <w:color w:val="173D31"/>
                <w:sz w:val="21"/>
              </w:rPr>
              <w:t>[điền]</w:t>
            </w:r>
          </w:p>
        </w:tc>
        <w:tc>
          <w:tcPr>
            <w:tcW w:type="dxa" w:w="3175"/>
            <w:shd w:fill="EDF5EF"/>
            <w:tcMar>
              <w:top w:w="65" w:type="dxa"/>
              <w:bottom w:w="65" w:type="dxa"/>
              <w:left w:w="90" w:type="dxa"/>
              <w:right w:w="90" w:type="dxa"/>
            </w:tcMar>
          </w:tcPr>
          <w:p>
            <w:pPr>
              <w:spacing w:after="80"/>
            </w:pPr>
            <w:r>
              <w:rPr>
                <w:rFonts w:ascii="Arial" w:hAnsi="Arial"/>
                <w:b w:val="0"/>
                <w:color w:val="173D31"/>
                <w:sz w:val="21"/>
              </w:rPr>
              <w:t>Chưa trừ chi phí chung</w:t>
            </w:r>
          </w:p>
        </w:tc>
      </w:tr>
      <w:tr>
        <w:tc>
          <w:tcPr>
            <w:tcW w:type="dxa" w:w="3175"/>
            <w:shd w:fill="FFFFFF"/>
            <w:tcMar>
              <w:top w:w="65" w:type="dxa"/>
              <w:bottom w:w="65" w:type="dxa"/>
              <w:left w:w="90" w:type="dxa"/>
              <w:right w:w="90" w:type="dxa"/>
            </w:tcMar>
          </w:tcPr>
          <w:p>
            <w:pPr>
              <w:spacing w:after="80"/>
            </w:pPr>
            <w:r>
              <w:rPr>
                <w:rFonts w:ascii="Arial" w:hAnsi="Arial"/>
                <w:b w:val="0"/>
                <w:color w:val="173D31"/>
                <w:sz w:val="21"/>
              </w:rPr>
              <w:t>Tỷ lệ đúng hạn</w:t>
            </w:r>
          </w:p>
        </w:tc>
        <w:tc>
          <w:tcPr>
            <w:tcW w:type="dxa" w:w="3175"/>
            <w:shd w:fill="FFFFFF"/>
            <w:tcMar>
              <w:top w:w="65" w:type="dxa"/>
              <w:bottom w:w="65" w:type="dxa"/>
              <w:left w:w="90" w:type="dxa"/>
              <w:right w:w="90" w:type="dxa"/>
            </w:tcMar>
          </w:tcPr>
          <w:p>
            <w:pPr>
              <w:spacing w:after="80"/>
            </w:pPr>
            <w:r>
              <w:rPr>
                <w:rFonts w:ascii="Arial" w:hAnsi="Arial"/>
                <w:b w:val="0"/>
                <w:color w:val="173D31"/>
                <w:sz w:val="21"/>
              </w:rPr>
              <w:t>[điền]</w:t>
            </w:r>
          </w:p>
        </w:tc>
        <w:tc>
          <w:tcPr>
            <w:tcW w:type="dxa" w:w="3175"/>
            <w:shd w:fill="FFFFFF"/>
            <w:tcMar>
              <w:top w:w="65" w:type="dxa"/>
              <w:bottom w:w="65" w:type="dxa"/>
              <w:left w:w="90" w:type="dxa"/>
              <w:right w:w="90" w:type="dxa"/>
            </w:tcMar>
          </w:tcPr>
          <w:p>
            <w:pPr>
              <w:spacing w:after="80"/>
            </w:pPr>
            <w:r>
              <w:rPr>
                <w:rFonts w:ascii="Arial" w:hAnsi="Arial"/>
                <w:b w:val="0"/>
                <w:color w:val="173D31"/>
                <w:sz w:val="21"/>
              </w:rPr>
              <w:t>Đơn Đã giao đúng hạn / tổng Đã giao</w:t>
            </w:r>
          </w:p>
        </w:tc>
      </w:tr>
    </w:tbl>
    <w:p>
      <w:pPr>
        <w:pStyle w:val="Heading1"/>
      </w:pPr>
      <w:r>
        <w:t>Phân tích và biểu đồ</w:t>
      </w:r>
    </w:p>
    <w:p>
      <w:r>
        <w:t>Biểu đồ 1: [nhóm, đơn vị, kỳ dữ liệu]. Quan sát: [điều nhìn thấy]. Chưa thể kết luận: [nguyên nhân chưa có bằng chứng].</w:t>
      </w:r>
    </w:p>
    <w:p>
      <w:r>
        <w:t>Biểu đồ 2: [trục, đơn vị, mẫu số]. Ghi chú dữ liệu thiếu và quyết định làm sạch.</w:t>
      </w:r>
    </w:p>
    <w:p>
      <w:pPr>
        <w:pStyle w:val="Heading1"/>
      </w:pPr>
      <w:r>
        <w:t>Đề xuất bước tiếp theo</w:t>
      </w:r>
    </w:p>
    <w:p>
      <w:r>
        <w:t>Việc cần làm: [đầu ra]. Chủ trì: [người]. Mốc: [đã xác nhận/dự kiến]. Điều kiện: [phụ thuộc]. Cách kiểm chứng: [chỉ số hoặc bằng chứng].</w:t>
      </w:r>
    </w:p>
    <w:p>
      <w:pPr>
        <w:pStyle w:val="Heading1"/>
      </w:pPr>
      <w:r>
        <w:t>Nguồn và phụ lục</w:t>
      </w:r>
    </w:p>
    <w:p>
      <w:r>
        <w:t>Tên tệp/bản dữ liệu, thời điểm trích xuất, bảng sạch, công thức, nhật ký lỗi. Nêu giả định và hạn chế dữ liệu.</w:t>
      </w:r>
    </w:p>
    <w:sectPr w:rsidR="00FC693F" w:rsidRPr="0006063C" w:rsidSect="00034616">
      <w:footerReference w:type="default" r:id="rId9"/>
      <w:pgSz w:w="11906" w:h="16838"/>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color w:val="65736B"/>
        <w:sz w:val="16"/>
      </w:rPr>
      <w:t>OnAcademy   Tình huống An Phúc giả định   Dùng cho đào tạo</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17674F"/>
      <w:sz w:val="3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17674F"/>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b/>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